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F102F1">
        <w:rPr>
          <w:rFonts w:ascii="Calibri" w:eastAsia="Times New Roman" w:hAnsi="Calibri" w:cs="Calibri"/>
          <w:b/>
          <w:szCs w:val="20"/>
          <w:lang w:eastAsia="ru-RU"/>
        </w:rPr>
        <w:t>ДОГОВОР</w:t>
      </w: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F102F1">
        <w:rPr>
          <w:rFonts w:ascii="Calibri" w:eastAsia="Times New Roman" w:hAnsi="Calibri" w:cs="Calibri"/>
          <w:b/>
          <w:szCs w:val="20"/>
          <w:lang w:eastAsia="ru-RU"/>
        </w:rPr>
        <w:t>на оказание услуг по обращению с твердыми</w:t>
      </w: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F102F1">
        <w:rPr>
          <w:rFonts w:ascii="Calibri" w:eastAsia="Times New Roman" w:hAnsi="Calibri" w:cs="Calibri"/>
          <w:b/>
          <w:szCs w:val="20"/>
          <w:lang w:eastAsia="ru-RU"/>
        </w:rPr>
        <w:t>коммунальными отходами</w:t>
      </w: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2F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 "__" _______ 20__ г.</w:t>
      </w: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2F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(место заключения договора)</w:t>
      </w: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Общество с ограниченной ответственностью «АВТОСПЕЦТРАНС», </w:t>
      </w:r>
      <w:r w:rsidRPr="00F102F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именуемое в дальнейшем региональным оператором, в лице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Директора Новикова Ивана Александровича</w:t>
      </w:r>
      <w:r w:rsidRPr="00F102F1">
        <w:rPr>
          <w:rFonts w:ascii="Courier New" w:eastAsia="Times New Roman" w:hAnsi="Courier New" w:cs="Courier New"/>
          <w:sz w:val="20"/>
          <w:szCs w:val="20"/>
          <w:lang w:eastAsia="ru-RU"/>
        </w:rPr>
        <w:t>, действующ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его на основании Устава</w:t>
      </w:r>
      <w:r w:rsidRPr="00F102F1">
        <w:rPr>
          <w:rFonts w:ascii="Courier New" w:eastAsia="Times New Roman" w:hAnsi="Courier New" w:cs="Courier New"/>
          <w:sz w:val="20"/>
          <w:szCs w:val="20"/>
          <w:lang w:eastAsia="ru-RU"/>
        </w:rPr>
        <w:t>, с одной стороны, и _______________________________________________________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</w:t>
      </w:r>
      <w:r w:rsidRPr="00F102F1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2F1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организации, фамилия, имя, отчество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102F1">
        <w:rPr>
          <w:rFonts w:ascii="Courier New" w:eastAsia="Times New Roman" w:hAnsi="Courier New" w:cs="Courier New"/>
          <w:sz w:val="20"/>
          <w:szCs w:val="20"/>
          <w:lang w:eastAsia="ru-RU"/>
        </w:rPr>
        <w:t>физического лица)</w:t>
      </w:r>
    </w:p>
    <w:p w:rsidR="00F102F1" w:rsidRDefault="00F102F1" w:rsidP="00F102F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2F1">
        <w:rPr>
          <w:rFonts w:ascii="Courier New" w:eastAsia="Times New Roman" w:hAnsi="Courier New" w:cs="Courier New"/>
          <w:sz w:val="20"/>
          <w:szCs w:val="20"/>
          <w:lang w:eastAsia="ru-RU"/>
        </w:rPr>
        <w:t>именуемое в дальнейшем потребителем, в лице _______________________________</w:t>
      </w: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2F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(фамилия, имя, отчество,</w:t>
      </w: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2F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2F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паспортные данные - в случае заключения договора физическим лицом,</w:t>
      </w: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2F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наименование должности, фамилия, имя, отчество - в случае заключения</w:t>
      </w: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2F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договора юридическим лицом)</w:t>
      </w: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2F1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 на основании ________________________________________________,</w:t>
      </w: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2F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(положение, устав, доверенность - указать нужное)</w:t>
      </w: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102F1">
        <w:rPr>
          <w:rFonts w:ascii="Courier New" w:eastAsia="Times New Roman" w:hAnsi="Courier New" w:cs="Courier New"/>
          <w:sz w:val="20"/>
          <w:szCs w:val="20"/>
          <w:lang w:eastAsia="ru-RU"/>
        </w:rPr>
        <w:t>с  другой</w:t>
      </w:r>
      <w:proofErr w:type="gramEnd"/>
      <w:r w:rsidRPr="00F102F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стороны,  именуемые  в дальнейшем сторонами, заключили настоящий</w:t>
      </w: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2F1">
        <w:rPr>
          <w:rFonts w:ascii="Courier New" w:eastAsia="Times New Roman" w:hAnsi="Courier New" w:cs="Courier New"/>
          <w:sz w:val="20"/>
          <w:szCs w:val="20"/>
          <w:lang w:eastAsia="ru-RU"/>
        </w:rPr>
        <w:t>договор о нижеследующем:</w:t>
      </w: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F102F1">
        <w:rPr>
          <w:rFonts w:ascii="Calibri" w:eastAsia="Times New Roman" w:hAnsi="Calibri" w:cs="Calibri"/>
          <w:szCs w:val="20"/>
          <w:lang w:eastAsia="ru-RU"/>
        </w:rPr>
        <w:t>I. Предмет договора</w:t>
      </w: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102F1">
        <w:rPr>
          <w:rFonts w:ascii="Calibri" w:eastAsia="Times New Roman" w:hAnsi="Calibri" w:cs="Calibri"/>
          <w:szCs w:val="20"/>
          <w:lang w:eastAsia="ru-RU"/>
        </w:rPr>
        <w:t>1.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сбор,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102F1">
        <w:rPr>
          <w:rFonts w:ascii="Calibri" w:eastAsia="Times New Roman" w:hAnsi="Calibri" w:cs="Calibri"/>
          <w:szCs w:val="20"/>
          <w:lang w:eastAsia="ru-RU"/>
        </w:rPr>
        <w:t>2. Объем твердых коммунальных отходов, места сбора и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в графическом виде о размещении мест сбора и накопления твердых коммунальных отходов и подъездных путей к ним (за исключением жилых домов) определяются согласно приложению к настоящему договору.</w:t>
      </w: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2F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 Способ складирования твердых коммунальных отходов -</w:t>
      </w: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2F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2F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(мусоропроводы и мусороприемные камеры, в контейнеры, бункеры,</w:t>
      </w: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2F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расположенные на контейнерных площадках, в пакеты или другие емкости</w:t>
      </w: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2F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(указать какие), предоставленные региональным оператором,</w:t>
      </w: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2F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- указать нужное)</w:t>
      </w: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2F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том числе крупногабаритных отходов - ________________________________</w:t>
      </w: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2F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2F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(в бункеры, расположенные на контейнерных площадках, на специальных</w:t>
      </w: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2F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площадках складирования крупногабаритных отходов - указать нужное)</w:t>
      </w:r>
    </w:p>
    <w:p w:rsidR="00F102F1" w:rsidRPr="00F102F1" w:rsidRDefault="00F102F1" w:rsidP="009E6A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F1CB3">
        <w:rPr>
          <w:rFonts w:ascii="Calibri" w:eastAsia="Times New Roman" w:hAnsi="Calibri" w:cs="Calibri"/>
          <w:szCs w:val="20"/>
          <w:lang w:eastAsia="ru-RU"/>
        </w:rPr>
        <w:t>4. Дат</w:t>
      </w:r>
      <w:r w:rsidR="00C766E7" w:rsidRPr="00DF1CB3">
        <w:rPr>
          <w:rFonts w:ascii="Calibri" w:eastAsia="Times New Roman" w:hAnsi="Calibri" w:cs="Calibri"/>
          <w:szCs w:val="20"/>
          <w:lang w:eastAsia="ru-RU"/>
        </w:rPr>
        <w:t xml:space="preserve">ой </w:t>
      </w:r>
      <w:r w:rsidRPr="00DF1CB3">
        <w:rPr>
          <w:rFonts w:ascii="Calibri" w:eastAsia="Times New Roman" w:hAnsi="Calibri" w:cs="Calibri"/>
          <w:szCs w:val="20"/>
          <w:lang w:eastAsia="ru-RU"/>
        </w:rPr>
        <w:t>начала оказания услуг по обращению с твердыми коммунальными отходами</w:t>
      </w:r>
      <w:r w:rsidR="00C766E7" w:rsidRPr="00DF1CB3">
        <w:rPr>
          <w:rFonts w:ascii="Calibri" w:eastAsia="Times New Roman" w:hAnsi="Calibri" w:cs="Calibri"/>
          <w:szCs w:val="20"/>
          <w:lang w:eastAsia="ru-RU"/>
        </w:rPr>
        <w:t xml:space="preserve"> является дата установления </w:t>
      </w:r>
      <w:r w:rsidR="009E6AC9" w:rsidRPr="00DF1CB3">
        <w:rPr>
          <w:rFonts w:ascii="Calibri" w:eastAsia="Times New Roman" w:hAnsi="Calibri" w:cs="Calibri"/>
          <w:szCs w:val="20"/>
          <w:lang w:eastAsia="ru-RU"/>
        </w:rPr>
        <w:t xml:space="preserve">единого тарифа на услугу регионального оператора </w:t>
      </w:r>
      <w:r w:rsidR="00C766E7" w:rsidRPr="00DF1CB3">
        <w:rPr>
          <w:rFonts w:ascii="Calibri" w:eastAsia="Times New Roman" w:hAnsi="Calibri" w:cs="Calibri"/>
          <w:szCs w:val="20"/>
          <w:lang w:eastAsia="ru-RU"/>
        </w:rPr>
        <w:t>либо</w:t>
      </w:r>
      <w:r w:rsidR="007F7008" w:rsidRPr="00DF1CB3">
        <w:rPr>
          <w:rFonts w:ascii="Calibri" w:eastAsia="Times New Roman" w:hAnsi="Calibri" w:cs="Calibri"/>
          <w:szCs w:val="20"/>
          <w:lang w:eastAsia="ru-RU"/>
        </w:rPr>
        <w:t xml:space="preserve"> дата возникновения права собственности</w:t>
      </w:r>
      <w:r w:rsidR="00D952AB" w:rsidRPr="00DF1CB3">
        <w:rPr>
          <w:rFonts w:ascii="Calibri" w:eastAsia="Times New Roman" w:hAnsi="Calibri" w:cs="Calibri"/>
          <w:szCs w:val="20"/>
          <w:lang w:eastAsia="ru-RU"/>
        </w:rPr>
        <w:t xml:space="preserve"> (пользования) потребителя</w:t>
      </w:r>
      <w:r w:rsidR="007F7008" w:rsidRPr="00DF1CB3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="004B4939" w:rsidRPr="00DF1CB3">
        <w:rPr>
          <w:rFonts w:ascii="Calibri" w:eastAsia="Times New Roman" w:hAnsi="Calibri" w:cs="Calibri"/>
          <w:szCs w:val="20"/>
          <w:lang w:eastAsia="ru-RU"/>
        </w:rPr>
        <w:t>на помещение</w:t>
      </w:r>
      <w:r w:rsidRPr="00DF1CB3">
        <w:rPr>
          <w:rFonts w:ascii="Calibri" w:eastAsia="Times New Roman" w:hAnsi="Calibri" w:cs="Calibri"/>
          <w:szCs w:val="20"/>
          <w:lang w:eastAsia="ru-RU"/>
        </w:rPr>
        <w:t>.</w:t>
      </w:r>
      <w:r w:rsidR="004B4939" w:rsidRPr="00DF1CB3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="00702855" w:rsidRPr="00DF1CB3">
        <w:rPr>
          <w:rFonts w:ascii="Calibri" w:eastAsia="Times New Roman" w:hAnsi="Calibri" w:cs="Calibri"/>
          <w:szCs w:val="20"/>
          <w:lang w:eastAsia="ru-RU"/>
        </w:rPr>
        <w:t xml:space="preserve">Дата возникновения права собственности (пользования) на помещение подтверждается </w:t>
      </w:r>
      <w:r w:rsidR="00C65EAF" w:rsidRPr="00DF1CB3">
        <w:rPr>
          <w:rFonts w:ascii="Calibri" w:eastAsia="Times New Roman" w:hAnsi="Calibri" w:cs="Calibri"/>
          <w:szCs w:val="20"/>
          <w:lang w:eastAsia="ru-RU"/>
        </w:rPr>
        <w:t>потребителем</w:t>
      </w:r>
      <w:r w:rsidR="00083F38" w:rsidRPr="00DF1CB3">
        <w:rPr>
          <w:rFonts w:ascii="Calibri" w:eastAsia="Times New Roman" w:hAnsi="Calibri" w:cs="Calibri"/>
          <w:szCs w:val="20"/>
          <w:lang w:eastAsia="ru-RU"/>
        </w:rPr>
        <w:t xml:space="preserve"> посредством предоставления документов</w:t>
      </w:r>
      <w:r w:rsidR="0094173C" w:rsidRPr="00DF1CB3">
        <w:rPr>
          <w:rFonts w:ascii="Calibri" w:eastAsia="Times New Roman" w:hAnsi="Calibri" w:cs="Calibri"/>
          <w:szCs w:val="20"/>
          <w:lang w:eastAsia="ru-RU"/>
        </w:rPr>
        <w:t xml:space="preserve"> (свидетельство о праве собственности, договоры пользования помещением и т.п.).</w:t>
      </w: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F102F1">
        <w:rPr>
          <w:rFonts w:ascii="Calibri" w:eastAsia="Times New Roman" w:hAnsi="Calibri" w:cs="Calibri"/>
          <w:szCs w:val="20"/>
          <w:lang w:eastAsia="ru-RU"/>
        </w:rPr>
        <w:t>II. Сроки и порядок оплаты по договору</w:t>
      </w: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2F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5.  Под  расчетным  периодом  по  настоящему  договору  понимается один</w:t>
      </w: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2F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календарный  месяц.  </w:t>
      </w:r>
      <w:proofErr w:type="gramStart"/>
      <w:r w:rsidRPr="00F102F1">
        <w:rPr>
          <w:rFonts w:ascii="Courier New" w:eastAsia="Times New Roman" w:hAnsi="Courier New" w:cs="Courier New"/>
          <w:sz w:val="20"/>
          <w:szCs w:val="20"/>
          <w:lang w:eastAsia="ru-RU"/>
        </w:rPr>
        <w:t>Оплата  услуг</w:t>
      </w:r>
      <w:proofErr w:type="gramEnd"/>
      <w:r w:rsidRPr="00F102F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настоящему договору осуществляется по</w:t>
      </w: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2F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цене, определенной в пределах утвержденного в установленном порядке единого</w:t>
      </w: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2F1">
        <w:rPr>
          <w:rFonts w:ascii="Courier New" w:eastAsia="Times New Roman" w:hAnsi="Courier New" w:cs="Courier New"/>
          <w:sz w:val="20"/>
          <w:szCs w:val="20"/>
          <w:lang w:eastAsia="ru-RU"/>
        </w:rPr>
        <w:t>тарифа на услугу регионального оператора: ________________________________.</w:t>
      </w: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2F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(размер оплаты указывается</w:t>
      </w: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2F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региональным оператором)</w:t>
      </w: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102F1">
        <w:rPr>
          <w:rFonts w:ascii="Calibri" w:eastAsia="Times New Roman" w:hAnsi="Calibri" w:cs="Calibri"/>
          <w:szCs w:val="20"/>
          <w:lang w:eastAsia="ru-RU"/>
        </w:rPr>
        <w:t>6. Потребитель (за исключением потребителей в многоквартирных домах и жилых домах) оплачивает услуги по обращению с твердыми коммунальными отходами в следующем порядке:</w:t>
      </w: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102F1">
        <w:rPr>
          <w:rFonts w:ascii="Calibri" w:eastAsia="Times New Roman" w:hAnsi="Calibri" w:cs="Calibri"/>
          <w:szCs w:val="20"/>
          <w:lang w:eastAsia="ru-RU"/>
        </w:rPr>
        <w:t>35 процентов стоимости услуг по обращению с твердыми коммунальными отходами в месяце, за который осуществляется оплата, вносится до 18-го числа текущего месяца, 50 процентов стоимости указанных услуг в месяце, за который осуществляется оплата, вносится до истечения текущего месяца;</w:t>
      </w: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102F1">
        <w:rPr>
          <w:rFonts w:ascii="Calibri" w:eastAsia="Times New Roman" w:hAnsi="Calibri" w:cs="Calibri"/>
          <w:szCs w:val="20"/>
          <w:lang w:eastAsia="ru-RU"/>
        </w:rPr>
        <w:t>оплата за фактически оказанные в истекшем месяце услуги по обращению с твердыми коммунальными отходами с учетом средств, ранее внесенных потребителем в качестве оплаты за такие услуги, оказанные в расчетном периоде, осуществляется до 10-го числа месяца, следующего за месяцем, за который осуществляется оплата. В случае если объем фактически оказанных услуг по обращению с твердыми коммунальными отходами за истекший месяц меньше объема, определенного настоящим договором, излишне уплаченная сумма засчитывается в счет предстоящего платежа за следующий месяц.</w:t>
      </w: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102F1">
        <w:rPr>
          <w:rFonts w:ascii="Calibri" w:eastAsia="Times New Roman" w:hAnsi="Calibri" w:cs="Calibri"/>
          <w:szCs w:val="20"/>
          <w:lang w:eastAsia="ru-RU"/>
        </w:rPr>
        <w:t>Потребитель в многоквартирном доме или жилом доме оплачивает коммунальную услугу по оказанию услуг по обра</w:t>
      </w:r>
      <w:bookmarkStart w:id="0" w:name="_GoBack"/>
      <w:bookmarkEnd w:id="0"/>
      <w:r w:rsidRPr="00F102F1">
        <w:rPr>
          <w:rFonts w:ascii="Calibri" w:eastAsia="Times New Roman" w:hAnsi="Calibri" w:cs="Calibri"/>
          <w:szCs w:val="20"/>
          <w:lang w:eastAsia="ru-RU"/>
        </w:rPr>
        <w:t>щению с твердыми коммунальными отходами в соответствии с жилищным законодательством Российской Федерации.</w:t>
      </w: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F1CB3">
        <w:rPr>
          <w:rFonts w:ascii="Calibri" w:eastAsia="Times New Roman" w:hAnsi="Calibri" w:cs="Calibri"/>
          <w:szCs w:val="20"/>
          <w:lang w:eastAsia="ru-RU"/>
        </w:rPr>
        <w:t xml:space="preserve">7. Сверка расчетов по настоящему договору проводится между региональным оператором и потребителем </w:t>
      </w:r>
      <w:r w:rsidR="00AE4892" w:rsidRPr="00DF1CB3">
        <w:rPr>
          <w:rFonts w:ascii="Calibri" w:eastAsia="Times New Roman" w:hAnsi="Calibri" w:cs="Calibri"/>
          <w:szCs w:val="20"/>
          <w:lang w:eastAsia="ru-RU"/>
        </w:rPr>
        <w:t xml:space="preserve">– юридическим лицом </w:t>
      </w:r>
      <w:r w:rsidRPr="00DF1CB3">
        <w:rPr>
          <w:rFonts w:ascii="Calibri" w:eastAsia="Times New Roman" w:hAnsi="Calibri" w:cs="Calibri"/>
          <w:szCs w:val="20"/>
          <w:lang w:eastAsia="ru-RU"/>
        </w:rPr>
        <w:t xml:space="preserve">не реже чем один раз в год </w:t>
      </w:r>
      <w:r w:rsidR="00CE2B69" w:rsidRPr="00DF1CB3">
        <w:rPr>
          <w:rFonts w:ascii="Calibri" w:eastAsia="Times New Roman" w:hAnsi="Calibri" w:cs="Calibri"/>
          <w:szCs w:val="20"/>
          <w:lang w:eastAsia="ru-RU"/>
        </w:rPr>
        <w:t>за 30 дней до окончания календарного года</w:t>
      </w:r>
      <w:r w:rsidRPr="00DF1CB3">
        <w:rPr>
          <w:rFonts w:ascii="Calibri" w:eastAsia="Times New Roman" w:hAnsi="Calibri" w:cs="Calibri"/>
          <w:szCs w:val="20"/>
          <w:lang w:eastAsia="ru-RU"/>
        </w:rPr>
        <w:t xml:space="preserve"> путем составления и подписания сторонами соответствующего акта.</w:t>
      </w: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102F1">
        <w:rPr>
          <w:rFonts w:ascii="Calibri" w:eastAsia="Times New Roman" w:hAnsi="Calibri" w:cs="Calibri"/>
          <w:szCs w:val="20"/>
          <w:lang w:eastAsia="ru-RU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F102F1">
        <w:rPr>
          <w:rFonts w:ascii="Calibri" w:eastAsia="Times New Roman" w:hAnsi="Calibri" w:cs="Calibri"/>
          <w:szCs w:val="20"/>
          <w:lang w:eastAsia="ru-RU"/>
        </w:rPr>
        <w:t>факсограмма</w:t>
      </w:r>
      <w:proofErr w:type="spellEnd"/>
      <w:r w:rsidRPr="00F102F1">
        <w:rPr>
          <w:rFonts w:ascii="Calibri" w:eastAsia="Times New Roman" w:hAnsi="Calibri" w:cs="Calibri"/>
          <w:szCs w:val="20"/>
          <w:lang w:eastAsia="ru-RU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102F1">
        <w:rPr>
          <w:rFonts w:ascii="Calibri" w:eastAsia="Times New Roman" w:hAnsi="Calibri" w:cs="Calibri"/>
          <w:szCs w:val="20"/>
          <w:lang w:eastAsia="ru-RU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F102F1">
        <w:rPr>
          <w:rFonts w:ascii="Calibri" w:eastAsia="Times New Roman" w:hAnsi="Calibri" w:cs="Calibri"/>
          <w:szCs w:val="20"/>
          <w:lang w:eastAsia="ru-RU"/>
        </w:rPr>
        <w:t>III. Бремя содержания контейнерных площадок, специальных</w:t>
      </w: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F102F1">
        <w:rPr>
          <w:rFonts w:ascii="Calibri" w:eastAsia="Times New Roman" w:hAnsi="Calibri" w:cs="Calibri"/>
          <w:szCs w:val="20"/>
          <w:lang w:eastAsia="ru-RU"/>
        </w:rPr>
        <w:t>площадок для складирования крупногабаритных отходов</w:t>
      </w: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F102F1">
        <w:rPr>
          <w:rFonts w:ascii="Calibri" w:eastAsia="Times New Roman" w:hAnsi="Calibri" w:cs="Calibri"/>
          <w:szCs w:val="20"/>
          <w:lang w:eastAsia="ru-RU"/>
        </w:rPr>
        <w:t>и территории, прилегающей к месту погрузки твердых</w:t>
      </w: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F102F1">
        <w:rPr>
          <w:rFonts w:ascii="Calibri" w:eastAsia="Times New Roman" w:hAnsi="Calibri" w:cs="Calibri"/>
          <w:szCs w:val="20"/>
          <w:lang w:eastAsia="ru-RU"/>
        </w:rPr>
        <w:t>коммунальных отходов</w:t>
      </w: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102F1">
        <w:rPr>
          <w:rFonts w:ascii="Calibri" w:eastAsia="Times New Roman" w:hAnsi="Calibri" w:cs="Calibri"/>
          <w:szCs w:val="20"/>
          <w:lang w:eastAsia="ru-RU"/>
        </w:rPr>
        <w:t>8.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в местах сбора и накопления твердых коммунальных отходов.</w:t>
      </w: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2F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9.  </w:t>
      </w:r>
      <w:proofErr w:type="gramStart"/>
      <w:r w:rsidRPr="00F102F1">
        <w:rPr>
          <w:rFonts w:ascii="Courier New" w:eastAsia="Times New Roman" w:hAnsi="Courier New" w:cs="Courier New"/>
          <w:sz w:val="20"/>
          <w:szCs w:val="20"/>
          <w:lang w:eastAsia="ru-RU"/>
        </w:rPr>
        <w:t>Бремя  содержания</w:t>
      </w:r>
      <w:proofErr w:type="gramEnd"/>
      <w:r w:rsidRPr="00F102F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контейнерных  площадок, специальных площадок для</w:t>
      </w: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2F1">
        <w:rPr>
          <w:rFonts w:ascii="Courier New" w:eastAsia="Times New Roman" w:hAnsi="Courier New" w:cs="Courier New"/>
          <w:sz w:val="20"/>
          <w:szCs w:val="20"/>
          <w:lang w:eastAsia="ru-RU"/>
        </w:rPr>
        <w:t>складирования  крупногабаритных  отходов  и территории, прилегающей к месту</w:t>
      </w: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2F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погрузки   твердых   коммунальных   </w:t>
      </w:r>
      <w:proofErr w:type="gramStart"/>
      <w:r w:rsidRPr="00F102F1">
        <w:rPr>
          <w:rFonts w:ascii="Courier New" w:eastAsia="Times New Roman" w:hAnsi="Courier New" w:cs="Courier New"/>
          <w:sz w:val="20"/>
          <w:szCs w:val="20"/>
          <w:lang w:eastAsia="ru-RU"/>
        </w:rPr>
        <w:t>отходов,  расположенных</w:t>
      </w:r>
      <w:proofErr w:type="gramEnd"/>
      <w:r w:rsidRPr="00F102F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  придомовой</w:t>
      </w: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102F1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территории,  входящей</w:t>
      </w:r>
      <w:proofErr w:type="gramEnd"/>
      <w:r w:rsidRPr="00F102F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состав общего имущества собственников помещений в</w:t>
      </w: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2F1">
        <w:rPr>
          <w:rFonts w:ascii="Courier New" w:eastAsia="Times New Roman" w:hAnsi="Courier New" w:cs="Courier New"/>
          <w:sz w:val="20"/>
          <w:szCs w:val="20"/>
          <w:lang w:eastAsia="ru-RU"/>
        </w:rPr>
        <w:t>многоквартирных домах, несет ______________________________________________</w:t>
      </w: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2F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(собственники помещений в многоквартирном</w:t>
      </w: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2F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2F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доме, лицо, привлекаемое собственниками помещений в многоквартирном</w:t>
      </w: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2F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доме по договорам оказания услуг по содержанию общего имущества</w:t>
      </w: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2F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таком доме</w:t>
      </w:r>
      <w:r w:rsidR="0036057E" w:rsidRPr="003605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</w:t>
      </w:r>
      <w:r w:rsidRPr="00F102F1">
        <w:rPr>
          <w:rFonts w:ascii="Courier New" w:eastAsia="Times New Roman" w:hAnsi="Courier New" w:cs="Courier New"/>
          <w:sz w:val="20"/>
          <w:szCs w:val="20"/>
          <w:lang w:eastAsia="ru-RU"/>
        </w:rPr>
        <w:t>указать нужное)</w:t>
      </w: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2F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10.  </w:t>
      </w:r>
      <w:proofErr w:type="gramStart"/>
      <w:r w:rsidRPr="00F102F1">
        <w:rPr>
          <w:rFonts w:ascii="Courier New" w:eastAsia="Times New Roman" w:hAnsi="Courier New" w:cs="Courier New"/>
          <w:sz w:val="20"/>
          <w:szCs w:val="20"/>
          <w:lang w:eastAsia="ru-RU"/>
        </w:rPr>
        <w:t>Бремя  содержания</w:t>
      </w:r>
      <w:proofErr w:type="gramEnd"/>
      <w:r w:rsidRPr="00F102F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контейнерных площадок, специальных площадок для</w:t>
      </w: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2F1">
        <w:rPr>
          <w:rFonts w:ascii="Courier New" w:eastAsia="Times New Roman" w:hAnsi="Courier New" w:cs="Courier New"/>
          <w:sz w:val="20"/>
          <w:szCs w:val="20"/>
          <w:lang w:eastAsia="ru-RU"/>
        </w:rPr>
        <w:t>складирования  крупногабаритных  отходов  и территории, прилегающей к месту</w:t>
      </w: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2F1">
        <w:rPr>
          <w:rFonts w:ascii="Courier New" w:eastAsia="Times New Roman" w:hAnsi="Courier New" w:cs="Courier New"/>
          <w:sz w:val="20"/>
          <w:szCs w:val="20"/>
          <w:lang w:eastAsia="ru-RU"/>
        </w:rPr>
        <w:t>погрузки   твердых  коммунальных  отходов,  не  входящих  в  состав  общего</w:t>
      </w: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2F1">
        <w:rPr>
          <w:rFonts w:ascii="Courier New" w:eastAsia="Times New Roman" w:hAnsi="Courier New" w:cs="Courier New"/>
          <w:sz w:val="20"/>
          <w:szCs w:val="20"/>
          <w:lang w:eastAsia="ru-RU"/>
        </w:rPr>
        <w:t>имущества   собственников   помещений   в   многоквартирных   домах,  несет</w:t>
      </w: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2F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2F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(собственник земельного участка, на котором расположены</w:t>
      </w: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2F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такие пл</w:t>
      </w:r>
      <w:r w:rsidR="0036057E">
        <w:rPr>
          <w:rFonts w:ascii="Courier New" w:eastAsia="Times New Roman" w:hAnsi="Courier New" w:cs="Courier New"/>
          <w:sz w:val="20"/>
          <w:szCs w:val="20"/>
          <w:lang w:eastAsia="ru-RU"/>
        </w:rPr>
        <w:t>ощадка и территория, иное лицо</w:t>
      </w:r>
      <w:r w:rsidR="0036057E" w:rsidRPr="00C766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102F1">
        <w:rPr>
          <w:rFonts w:ascii="Courier New" w:eastAsia="Times New Roman" w:hAnsi="Courier New" w:cs="Courier New"/>
          <w:sz w:val="20"/>
          <w:szCs w:val="20"/>
          <w:lang w:eastAsia="ru-RU"/>
        </w:rPr>
        <w:t>- указать нужное)</w:t>
      </w: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F102F1">
        <w:rPr>
          <w:rFonts w:ascii="Calibri" w:eastAsia="Times New Roman" w:hAnsi="Calibri" w:cs="Calibri"/>
          <w:szCs w:val="20"/>
          <w:lang w:eastAsia="ru-RU"/>
        </w:rPr>
        <w:t>IV. Права и обязанности сторон</w:t>
      </w: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102F1">
        <w:rPr>
          <w:rFonts w:ascii="Calibri" w:eastAsia="Times New Roman" w:hAnsi="Calibri" w:cs="Calibri"/>
          <w:szCs w:val="20"/>
          <w:lang w:eastAsia="ru-RU"/>
        </w:rPr>
        <w:t>11. Региональный оператор обязан:</w:t>
      </w: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102F1">
        <w:rPr>
          <w:rFonts w:ascii="Calibri" w:eastAsia="Times New Roman" w:hAnsi="Calibri" w:cs="Calibri"/>
          <w:szCs w:val="20"/>
          <w:lang w:eastAsia="ru-RU"/>
        </w:rPr>
        <w:t xml:space="preserve">а) принимать твердые коммунальные отходы в объеме и в месте, которые определены в </w:t>
      </w:r>
      <w:hyperlink w:anchor="P329" w:history="1">
        <w:r w:rsidRPr="00F102F1">
          <w:rPr>
            <w:rFonts w:ascii="Calibri" w:eastAsia="Times New Roman" w:hAnsi="Calibri" w:cs="Calibri"/>
            <w:color w:val="0000FF"/>
            <w:szCs w:val="20"/>
            <w:lang w:eastAsia="ru-RU"/>
          </w:rPr>
          <w:t>приложении</w:t>
        </w:r>
      </w:hyperlink>
      <w:r w:rsidRPr="00F102F1">
        <w:rPr>
          <w:rFonts w:ascii="Calibri" w:eastAsia="Times New Roman" w:hAnsi="Calibri" w:cs="Calibri"/>
          <w:szCs w:val="20"/>
          <w:lang w:eastAsia="ru-RU"/>
        </w:rPr>
        <w:t xml:space="preserve"> к настоящему договору;</w:t>
      </w: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102F1">
        <w:rPr>
          <w:rFonts w:ascii="Calibri" w:eastAsia="Times New Roman" w:hAnsi="Calibri" w:cs="Calibri"/>
          <w:szCs w:val="20"/>
          <w:lang w:eastAsia="ru-RU"/>
        </w:rPr>
        <w:t>б) обеспечивать сбор,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102F1">
        <w:rPr>
          <w:rFonts w:ascii="Calibri" w:eastAsia="Times New Roman" w:hAnsi="Calibri" w:cs="Calibri"/>
          <w:szCs w:val="20"/>
          <w:lang w:eastAsia="ru-RU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102F1">
        <w:rPr>
          <w:rFonts w:ascii="Calibri" w:eastAsia="Times New Roman" w:hAnsi="Calibri" w:cs="Calibri"/>
          <w:szCs w:val="20"/>
          <w:lang w:eastAsia="ru-RU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102F1">
        <w:rPr>
          <w:rFonts w:ascii="Calibri" w:eastAsia="Times New Roman" w:hAnsi="Calibri" w:cs="Calibri"/>
          <w:szCs w:val="20"/>
          <w:lang w:eastAsia="ru-RU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102F1">
        <w:rPr>
          <w:rFonts w:ascii="Calibri" w:eastAsia="Times New Roman" w:hAnsi="Calibri" w:cs="Calibri"/>
          <w:szCs w:val="20"/>
          <w:lang w:eastAsia="ru-RU"/>
        </w:rPr>
        <w:t>12. Региональный оператор имеет право:</w:t>
      </w: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102F1">
        <w:rPr>
          <w:rFonts w:ascii="Calibri" w:eastAsia="Times New Roman" w:hAnsi="Calibri" w:cs="Calibri"/>
          <w:szCs w:val="20"/>
          <w:lang w:eastAsia="ru-RU"/>
        </w:rPr>
        <w:t>а) осуществлять контроль за учетом объема и (или) массы принятых твердых коммунальных отходов;</w:t>
      </w: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102F1">
        <w:rPr>
          <w:rFonts w:ascii="Calibri" w:eastAsia="Times New Roman" w:hAnsi="Calibri" w:cs="Calibri"/>
          <w:szCs w:val="20"/>
          <w:lang w:eastAsia="ru-RU"/>
        </w:rPr>
        <w:t>б) инициировать проведение сверки расчетов по настоящему договору.</w:t>
      </w: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102F1">
        <w:rPr>
          <w:rFonts w:ascii="Calibri" w:eastAsia="Times New Roman" w:hAnsi="Calibri" w:cs="Calibri"/>
          <w:szCs w:val="20"/>
          <w:lang w:eastAsia="ru-RU"/>
        </w:rPr>
        <w:t>13. Потребитель обязан:</w:t>
      </w: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102F1">
        <w:rPr>
          <w:rFonts w:ascii="Calibri" w:eastAsia="Times New Roman" w:hAnsi="Calibri" w:cs="Calibri"/>
          <w:szCs w:val="20"/>
          <w:lang w:eastAsia="ru-RU"/>
        </w:rPr>
        <w:t>а) осуществлять складирование твердых коммунальных отходов в местах сбора и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</w:t>
      </w: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102F1">
        <w:rPr>
          <w:rFonts w:ascii="Calibri" w:eastAsia="Times New Roman" w:hAnsi="Calibri" w:cs="Calibri"/>
          <w:szCs w:val="20"/>
          <w:lang w:eastAsia="ru-RU"/>
        </w:rPr>
        <w:t xml:space="preserve">б) обеспечивать учет объема и (или) массы твердых коммунальных отходов в соответствии с </w:t>
      </w:r>
      <w:hyperlink r:id="rId5" w:history="1">
        <w:r w:rsidRPr="00F102F1">
          <w:rPr>
            <w:rFonts w:ascii="Calibri" w:eastAsia="Times New Roman" w:hAnsi="Calibri" w:cs="Calibri"/>
            <w:color w:val="0000FF"/>
            <w:szCs w:val="20"/>
            <w:lang w:eastAsia="ru-RU"/>
          </w:rPr>
          <w:t>Правилами</w:t>
        </w:r>
      </w:hyperlink>
      <w:r w:rsidRPr="00F102F1">
        <w:rPr>
          <w:rFonts w:ascii="Calibri" w:eastAsia="Times New Roman" w:hAnsi="Calibri" w:cs="Calibri"/>
          <w:szCs w:val="20"/>
          <w:lang w:eastAsia="ru-RU"/>
        </w:rPr>
        <w:t xml:space="preserve">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102F1">
        <w:rPr>
          <w:rFonts w:ascii="Calibri" w:eastAsia="Times New Roman" w:hAnsi="Calibri" w:cs="Calibri"/>
          <w:szCs w:val="20"/>
          <w:lang w:eastAsia="ru-RU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102F1">
        <w:rPr>
          <w:rFonts w:ascii="Calibri" w:eastAsia="Times New Roman" w:hAnsi="Calibri" w:cs="Calibri"/>
          <w:szCs w:val="20"/>
          <w:lang w:eastAsia="ru-RU"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102F1">
        <w:rPr>
          <w:rFonts w:ascii="Calibri" w:eastAsia="Times New Roman" w:hAnsi="Calibri" w:cs="Calibri"/>
          <w:szCs w:val="20"/>
          <w:lang w:eastAsia="ru-RU"/>
        </w:rPr>
        <w:t>д)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102F1">
        <w:rPr>
          <w:rFonts w:ascii="Calibri" w:eastAsia="Times New Roman" w:hAnsi="Calibri" w:cs="Calibri"/>
          <w:szCs w:val="20"/>
          <w:lang w:eastAsia="ru-RU"/>
        </w:rPr>
        <w:t>е) назначить лицо, ответственное за взаимодействие с региональным оператором по вопросам исполнения настоящего договора;</w:t>
      </w: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102F1">
        <w:rPr>
          <w:rFonts w:ascii="Calibri" w:eastAsia="Times New Roman" w:hAnsi="Calibri" w:cs="Calibri"/>
          <w:szCs w:val="20"/>
          <w:lang w:eastAsia="ru-RU"/>
        </w:rPr>
        <w:t xml:space="preserve">ж) уведомить регионального оператора любым доступным способом (почтовое отправление, телеграмма, </w:t>
      </w:r>
      <w:proofErr w:type="spellStart"/>
      <w:r w:rsidRPr="00F102F1">
        <w:rPr>
          <w:rFonts w:ascii="Calibri" w:eastAsia="Times New Roman" w:hAnsi="Calibri" w:cs="Calibri"/>
          <w:szCs w:val="20"/>
          <w:lang w:eastAsia="ru-RU"/>
        </w:rPr>
        <w:t>факсограмма</w:t>
      </w:r>
      <w:proofErr w:type="spellEnd"/>
      <w:r w:rsidRPr="00F102F1">
        <w:rPr>
          <w:rFonts w:ascii="Calibri" w:eastAsia="Times New Roman" w:hAnsi="Calibri" w:cs="Calibri"/>
          <w:szCs w:val="20"/>
          <w:lang w:eastAsia="ru-RU"/>
        </w:rPr>
        <w:t>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собственнику.</w:t>
      </w: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102F1">
        <w:rPr>
          <w:rFonts w:ascii="Calibri" w:eastAsia="Times New Roman" w:hAnsi="Calibri" w:cs="Calibri"/>
          <w:szCs w:val="20"/>
          <w:lang w:eastAsia="ru-RU"/>
        </w:rPr>
        <w:t>14. Потребитель имеет право:</w:t>
      </w: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102F1">
        <w:rPr>
          <w:rFonts w:ascii="Calibri" w:eastAsia="Times New Roman" w:hAnsi="Calibri" w:cs="Calibri"/>
          <w:szCs w:val="20"/>
          <w:lang w:eastAsia="ru-RU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102F1">
        <w:rPr>
          <w:rFonts w:ascii="Calibri" w:eastAsia="Times New Roman" w:hAnsi="Calibri" w:cs="Calibri"/>
          <w:szCs w:val="20"/>
          <w:lang w:eastAsia="ru-RU"/>
        </w:rPr>
        <w:t>б) инициировать проведение сверки расчетов по настоящему договору.</w:t>
      </w: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F102F1">
        <w:rPr>
          <w:rFonts w:ascii="Calibri" w:eastAsia="Times New Roman" w:hAnsi="Calibri" w:cs="Calibri"/>
          <w:szCs w:val="20"/>
          <w:lang w:eastAsia="ru-RU"/>
        </w:rPr>
        <w:t>V. Порядок осуществления учета объема и (или) массы твердых</w:t>
      </w: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F102F1">
        <w:rPr>
          <w:rFonts w:ascii="Calibri" w:eastAsia="Times New Roman" w:hAnsi="Calibri" w:cs="Calibri"/>
          <w:szCs w:val="20"/>
          <w:lang w:eastAsia="ru-RU"/>
        </w:rPr>
        <w:t>коммунальных отходов</w:t>
      </w: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2F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15.  </w:t>
      </w:r>
      <w:proofErr w:type="gramStart"/>
      <w:r w:rsidRPr="00F102F1">
        <w:rPr>
          <w:rFonts w:ascii="Courier New" w:eastAsia="Times New Roman" w:hAnsi="Courier New" w:cs="Courier New"/>
          <w:sz w:val="20"/>
          <w:szCs w:val="20"/>
          <w:lang w:eastAsia="ru-RU"/>
        </w:rPr>
        <w:t>Стороны  согласились</w:t>
      </w:r>
      <w:proofErr w:type="gramEnd"/>
      <w:r w:rsidRPr="00F102F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производить учет объема и (или) массы твердых</w:t>
      </w: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2F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коммунальных  отходов в соответствии с </w:t>
      </w:r>
      <w:hyperlink r:id="rId6" w:history="1">
        <w:r w:rsidRPr="00F102F1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Правилами</w:t>
        </w:r>
      </w:hyperlink>
      <w:r w:rsidRPr="00F102F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коммерческого учета объема</w:t>
      </w: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102F1">
        <w:rPr>
          <w:rFonts w:ascii="Courier New" w:eastAsia="Times New Roman" w:hAnsi="Courier New" w:cs="Courier New"/>
          <w:sz w:val="20"/>
          <w:szCs w:val="20"/>
          <w:lang w:eastAsia="ru-RU"/>
        </w:rPr>
        <w:t>и  (</w:t>
      </w:r>
      <w:proofErr w:type="gramEnd"/>
      <w:r w:rsidRPr="00F102F1">
        <w:rPr>
          <w:rFonts w:ascii="Courier New" w:eastAsia="Times New Roman" w:hAnsi="Courier New" w:cs="Courier New"/>
          <w:sz w:val="20"/>
          <w:szCs w:val="20"/>
          <w:lang w:eastAsia="ru-RU"/>
        </w:rPr>
        <w:t>или)  массы  твердых коммунальных отходов, утвержденными постановлением</w:t>
      </w: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2F1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Правительства  Российской Федерации от 3 июня 2016 г. N 505 "Об утверждении</w:t>
      </w: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2F1">
        <w:rPr>
          <w:rFonts w:ascii="Courier New" w:eastAsia="Times New Roman" w:hAnsi="Courier New" w:cs="Courier New"/>
          <w:sz w:val="20"/>
          <w:szCs w:val="20"/>
          <w:lang w:eastAsia="ru-RU"/>
        </w:rPr>
        <w:t>Правил  коммерческого  учета  объема  и  (или)  массы  твердых коммунальных</w:t>
      </w:r>
    </w:p>
    <w:p w:rsidR="00F102F1" w:rsidRPr="00375B24" w:rsidRDefault="00F102F1" w:rsidP="00375B2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2F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отходов", </w:t>
      </w:r>
      <w:r w:rsidR="00375B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расчетным путем исходя из нормативов накопления твердых коммунальных отходов на территории Республики Карелия, утвержденных Приказом Министерства строительства, жилищно-коммунального хозяйства и энергетики Республики Карелия от 23 марта 2018 г. </w:t>
      </w:r>
      <w:r w:rsidR="00375B24">
        <w:rPr>
          <w:rFonts w:ascii="Courier New" w:eastAsia="Times New Roman" w:hAnsi="Courier New" w:cs="Courier New"/>
          <w:sz w:val="20"/>
          <w:szCs w:val="20"/>
          <w:lang w:val="en-US" w:eastAsia="ru-RU"/>
        </w:rPr>
        <w:t>N</w:t>
      </w:r>
      <w:r w:rsidR="00375B24" w:rsidRPr="00375B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375B24">
        <w:rPr>
          <w:rFonts w:ascii="Courier New" w:eastAsia="Times New Roman" w:hAnsi="Courier New" w:cs="Courier New"/>
          <w:sz w:val="20"/>
          <w:szCs w:val="20"/>
          <w:lang w:eastAsia="ru-RU"/>
        </w:rPr>
        <w:t>81</w:t>
      </w:r>
      <w:r w:rsidR="00375B24" w:rsidRPr="00375B24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F102F1">
        <w:rPr>
          <w:rFonts w:ascii="Calibri" w:eastAsia="Times New Roman" w:hAnsi="Calibri" w:cs="Calibri"/>
          <w:szCs w:val="20"/>
          <w:lang w:eastAsia="ru-RU"/>
        </w:rPr>
        <w:t>VI. Порядок фиксации нарушений по договору</w:t>
      </w: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102F1">
        <w:rPr>
          <w:rFonts w:ascii="Calibri" w:eastAsia="Times New Roman" w:hAnsi="Calibri" w:cs="Calibri"/>
          <w:szCs w:val="20"/>
          <w:lang w:eastAsia="ru-RU"/>
        </w:rPr>
        <w:t>16.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102F1">
        <w:rPr>
          <w:rFonts w:ascii="Calibri" w:eastAsia="Times New Roman" w:hAnsi="Calibri" w:cs="Calibri"/>
          <w:szCs w:val="20"/>
          <w:lang w:eastAsia="ru-RU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102F1">
        <w:rPr>
          <w:rFonts w:ascii="Calibri" w:eastAsia="Times New Roman" w:hAnsi="Calibri" w:cs="Calibri"/>
          <w:szCs w:val="20"/>
          <w:lang w:eastAsia="ru-RU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102F1">
        <w:rPr>
          <w:rFonts w:ascii="Calibri" w:eastAsia="Times New Roman" w:hAnsi="Calibri" w:cs="Calibri"/>
          <w:szCs w:val="20"/>
          <w:lang w:eastAsia="ru-RU"/>
        </w:rPr>
        <w:t>17.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102F1">
        <w:rPr>
          <w:rFonts w:ascii="Calibri" w:eastAsia="Times New Roman" w:hAnsi="Calibri" w:cs="Calibri"/>
          <w:szCs w:val="20"/>
          <w:lang w:eastAsia="ru-RU"/>
        </w:rPr>
        <w:t>18.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102F1">
        <w:rPr>
          <w:rFonts w:ascii="Calibri" w:eastAsia="Times New Roman" w:hAnsi="Calibri" w:cs="Calibri"/>
          <w:szCs w:val="20"/>
          <w:lang w:eastAsia="ru-RU"/>
        </w:rPr>
        <w:t>19. Акт должен содержать:</w:t>
      </w: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102F1">
        <w:rPr>
          <w:rFonts w:ascii="Calibri" w:eastAsia="Times New Roman" w:hAnsi="Calibri" w:cs="Calibri"/>
          <w:szCs w:val="20"/>
          <w:lang w:eastAsia="ru-RU"/>
        </w:rPr>
        <w:t>а) сведения о заявителе (наименование, местонахождение, адрес);</w:t>
      </w: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102F1">
        <w:rPr>
          <w:rFonts w:ascii="Calibri" w:eastAsia="Times New Roman" w:hAnsi="Calibri" w:cs="Calibri"/>
          <w:szCs w:val="20"/>
          <w:lang w:eastAsia="ru-RU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102F1">
        <w:rPr>
          <w:rFonts w:ascii="Calibri" w:eastAsia="Times New Roman" w:hAnsi="Calibri" w:cs="Calibri"/>
          <w:szCs w:val="20"/>
          <w:lang w:eastAsia="ru-RU"/>
        </w:rPr>
        <w:t>в) сведения о нарушении соответствующих пунктов договора;</w:t>
      </w: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102F1">
        <w:rPr>
          <w:rFonts w:ascii="Calibri" w:eastAsia="Times New Roman" w:hAnsi="Calibri" w:cs="Calibri"/>
          <w:szCs w:val="20"/>
          <w:lang w:eastAsia="ru-RU"/>
        </w:rPr>
        <w:t>г) другие сведения по усмотрению стороны, в том числе материалы фото- и видеосъемки.</w:t>
      </w: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102F1">
        <w:rPr>
          <w:rFonts w:ascii="Calibri" w:eastAsia="Times New Roman" w:hAnsi="Calibri" w:cs="Calibri"/>
          <w:szCs w:val="20"/>
          <w:lang w:eastAsia="ru-RU"/>
        </w:rPr>
        <w:t>20.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F102F1">
        <w:rPr>
          <w:rFonts w:ascii="Calibri" w:eastAsia="Times New Roman" w:hAnsi="Calibri" w:cs="Calibri"/>
          <w:szCs w:val="20"/>
          <w:lang w:eastAsia="ru-RU"/>
        </w:rPr>
        <w:t>VII. Ответственность сторон</w:t>
      </w: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102F1">
        <w:rPr>
          <w:rFonts w:ascii="Calibri" w:eastAsia="Times New Roman" w:hAnsi="Calibri" w:cs="Calibri"/>
          <w:szCs w:val="20"/>
          <w:lang w:eastAsia="ru-RU"/>
        </w:rPr>
        <w:t>21.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102F1">
        <w:rPr>
          <w:rFonts w:ascii="Calibri" w:eastAsia="Times New Roman" w:hAnsi="Calibri" w:cs="Calibri"/>
          <w:szCs w:val="20"/>
          <w:lang w:eastAsia="ru-RU"/>
        </w:rPr>
        <w:t>22.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102F1">
        <w:rPr>
          <w:rFonts w:ascii="Calibri" w:eastAsia="Times New Roman" w:hAnsi="Calibri" w:cs="Calibri"/>
          <w:szCs w:val="20"/>
          <w:lang w:eastAsia="ru-RU"/>
        </w:rPr>
        <w:t>23. За нарушение правил обращения с твердыми коммунальными отходами в части складирования твердых коммунальных отходов вне мест сбора и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F102F1">
        <w:rPr>
          <w:rFonts w:ascii="Calibri" w:eastAsia="Times New Roman" w:hAnsi="Calibri" w:cs="Calibri"/>
          <w:szCs w:val="20"/>
          <w:lang w:eastAsia="ru-RU"/>
        </w:rPr>
        <w:t>VIII. Обстоятельства непреодолимой силы</w:t>
      </w: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102F1">
        <w:rPr>
          <w:rFonts w:ascii="Calibri" w:eastAsia="Times New Roman" w:hAnsi="Calibri" w:cs="Calibri"/>
          <w:szCs w:val="20"/>
          <w:lang w:eastAsia="ru-RU"/>
        </w:rPr>
        <w:t>24.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102F1">
        <w:rPr>
          <w:rFonts w:ascii="Calibri" w:eastAsia="Times New Roman" w:hAnsi="Calibri" w:cs="Calibri"/>
          <w:szCs w:val="20"/>
          <w:lang w:eastAsia="ru-RU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102F1">
        <w:rPr>
          <w:rFonts w:ascii="Calibri" w:eastAsia="Times New Roman" w:hAnsi="Calibri" w:cs="Calibri"/>
          <w:szCs w:val="20"/>
          <w:lang w:eastAsia="ru-RU"/>
        </w:rPr>
        <w:t>25.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102F1">
        <w:rPr>
          <w:rFonts w:ascii="Calibri" w:eastAsia="Times New Roman" w:hAnsi="Calibri" w:cs="Calibri"/>
          <w:szCs w:val="20"/>
          <w:lang w:eastAsia="ru-RU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F102F1">
        <w:rPr>
          <w:rFonts w:ascii="Calibri" w:eastAsia="Times New Roman" w:hAnsi="Calibri" w:cs="Calibri"/>
          <w:szCs w:val="20"/>
          <w:lang w:eastAsia="ru-RU"/>
        </w:rPr>
        <w:t>IX. Действие договора</w:t>
      </w: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2F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26. Настоящий договор заключается на срок ____________________________.</w:t>
      </w: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2F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(указывается срок)</w:t>
      </w: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102F1">
        <w:rPr>
          <w:rFonts w:ascii="Calibri" w:eastAsia="Times New Roman" w:hAnsi="Calibri" w:cs="Calibri"/>
          <w:szCs w:val="20"/>
          <w:lang w:eastAsia="ru-RU"/>
        </w:rPr>
        <w:t>27.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102F1">
        <w:rPr>
          <w:rFonts w:ascii="Calibri" w:eastAsia="Times New Roman" w:hAnsi="Calibri" w:cs="Calibri"/>
          <w:szCs w:val="20"/>
          <w:lang w:eastAsia="ru-RU"/>
        </w:rPr>
        <w:t>28. Настоящий договор может быть расторгнут до окончания срока его действия по соглашению сторон.</w:t>
      </w: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F102F1">
        <w:rPr>
          <w:rFonts w:ascii="Calibri" w:eastAsia="Times New Roman" w:hAnsi="Calibri" w:cs="Calibri"/>
          <w:szCs w:val="20"/>
          <w:lang w:eastAsia="ru-RU"/>
        </w:rPr>
        <w:t>X. Прочие условия</w:t>
      </w: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102F1">
        <w:rPr>
          <w:rFonts w:ascii="Calibri" w:eastAsia="Times New Roman" w:hAnsi="Calibri" w:cs="Calibri"/>
          <w:szCs w:val="20"/>
          <w:lang w:eastAsia="ru-RU"/>
        </w:rPr>
        <w:t>29.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102F1">
        <w:rPr>
          <w:rFonts w:ascii="Calibri" w:eastAsia="Times New Roman" w:hAnsi="Calibri" w:cs="Calibri"/>
          <w:szCs w:val="20"/>
          <w:lang w:eastAsia="ru-RU"/>
        </w:rPr>
        <w:t>30.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102F1">
        <w:rPr>
          <w:rFonts w:ascii="Calibri" w:eastAsia="Times New Roman" w:hAnsi="Calibri" w:cs="Calibri"/>
          <w:szCs w:val="20"/>
          <w:lang w:eastAsia="ru-RU"/>
        </w:rPr>
        <w:t xml:space="preserve">31.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7" w:history="1">
        <w:r w:rsidRPr="00F102F1">
          <w:rPr>
            <w:rFonts w:ascii="Calibri" w:eastAsia="Times New Roman" w:hAnsi="Calibri" w:cs="Calibri"/>
            <w:color w:val="0000FF"/>
            <w:szCs w:val="20"/>
            <w:lang w:eastAsia="ru-RU"/>
          </w:rPr>
          <w:t>закона</w:t>
        </w:r>
      </w:hyperlink>
      <w:r w:rsidRPr="00F102F1">
        <w:rPr>
          <w:rFonts w:ascii="Calibri" w:eastAsia="Times New Roman" w:hAnsi="Calibri" w:cs="Calibri"/>
          <w:szCs w:val="20"/>
          <w:lang w:eastAsia="ru-RU"/>
        </w:rPr>
        <w:t xml:space="preserve">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102F1">
        <w:rPr>
          <w:rFonts w:ascii="Calibri" w:eastAsia="Times New Roman" w:hAnsi="Calibri" w:cs="Calibri"/>
          <w:szCs w:val="20"/>
          <w:lang w:eastAsia="ru-RU"/>
        </w:rPr>
        <w:t>32. Настоящий договор составлен в 2 экземплярах, имеющих равную юридическую силу.</w:t>
      </w: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102F1">
        <w:rPr>
          <w:rFonts w:ascii="Calibri" w:eastAsia="Times New Roman" w:hAnsi="Calibri" w:cs="Calibri"/>
          <w:szCs w:val="20"/>
          <w:lang w:eastAsia="ru-RU"/>
        </w:rPr>
        <w:t xml:space="preserve">33. </w:t>
      </w:r>
      <w:hyperlink w:anchor="P329" w:history="1">
        <w:r w:rsidRPr="00F102F1">
          <w:rPr>
            <w:rFonts w:ascii="Calibri" w:eastAsia="Times New Roman" w:hAnsi="Calibri" w:cs="Calibri"/>
            <w:color w:val="0000FF"/>
            <w:szCs w:val="20"/>
            <w:lang w:eastAsia="ru-RU"/>
          </w:rPr>
          <w:t>Приложение</w:t>
        </w:r>
      </w:hyperlink>
      <w:r w:rsidRPr="00F102F1">
        <w:rPr>
          <w:rFonts w:ascii="Calibri" w:eastAsia="Times New Roman" w:hAnsi="Calibri" w:cs="Calibri"/>
          <w:szCs w:val="20"/>
          <w:lang w:eastAsia="ru-RU"/>
        </w:rPr>
        <w:t xml:space="preserve"> к настоящему договору является его неотъемлемой частью.</w:t>
      </w:r>
    </w:p>
    <w:p w:rsidR="00F102F1" w:rsidRDefault="00F102F1" w:rsidP="00F102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Ind w:w="40" w:type="dxa"/>
        <w:tblLook w:val="00A0" w:firstRow="1" w:lastRow="0" w:firstColumn="1" w:lastColumn="0" w:noHBand="0" w:noVBand="0"/>
      </w:tblPr>
      <w:tblGrid>
        <w:gridCol w:w="4583"/>
        <w:gridCol w:w="4732"/>
      </w:tblGrid>
      <w:tr w:rsidR="00F102F1" w:rsidRPr="00F102F1" w:rsidTr="00C766E7">
        <w:trPr>
          <w:trHeight w:val="4253"/>
        </w:trPr>
        <w:tc>
          <w:tcPr>
            <w:tcW w:w="5211" w:type="dxa"/>
          </w:tcPr>
          <w:p w:rsidR="00F102F1" w:rsidRPr="00F102F1" w:rsidRDefault="00F102F1" w:rsidP="00F102F1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b/>
                <w:szCs w:val="20"/>
                <w:lang w:eastAsia="ru-RU"/>
              </w:rPr>
            </w:pPr>
            <w:r w:rsidRPr="00F102F1">
              <w:rPr>
                <w:rFonts w:ascii="Calibri" w:eastAsia="Times New Roman" w:hAnsi="Calibri" w:cs="Calibri"/>
                <w:b/>
                <w:szCs w:val="20"/>
                <w:lang w:eastAsia="ru-RU"/>
              </w:rPr>
              <w:lastRenderedPageBreak/>
              <w:t>Потребитель</w:t>
            </w:r>
          </w:p>
        </w:tc>
        <w:tc>
          <w:tcPr>
            <w:tcW w:w="5211" w:type="dxa"/>
          </w:tcPr>
          <w:p w:rsidR="00F102F1" w:rsidRPr="00F102F1" w:rsidRDefault="00F102F1" w:rsidP="00F102F1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b/>
                <w:bCs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szCs w:val="20"/>
                <w:lang w:eastAsia="ru-RU"/>
              </w:rPr>
              <w:t>Региональный оператор</w:t>
            </w:r>
            <w:r w:rsidRPr="00F102F1">
              <w:rPr>
                <w:rFonts w:ascii="Calibri" w:eastAsia="Times New Roman" w:hAnsi="Calibri" w:cs="Calibri"/>
                <w:b/>
                <w:bCs/>
                <w:szCs w:val="20"/>
                <w:lang w:eastAsia="ru-RU"/>
              </w:rPr>
              <w:t xml:space="preserve"> </w:t>
            </w:r>
          </w:p>
          <w:p w:rsidR="00F102F1" w:rsidRPr="00F102F1" w:rsidRDefault="00F102F1" w:rsidP="00F102F1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b/>
                <w:szCs w:val="20"/>
                <w:lang w:eastAsia="ru-RU"/>
              </w:rPr>
            </w:pPr>
            <w:r w:rsidRPr="00F102F1">
              <w:rPr>
                <w:rFonts w:ascii="Calibri" w:eastAsia="Times New Roman" w:hAnsi="Calibri" w:cs="Calibri"/>
                <w:b/>
                <w:bCs/>
                <w:szCs w:val="20"/>
                <w:lang w:eastAsia="ru-RU"/>
              </w:rPr>
              <w:t>Общество с ограниченной ответственностью «АВТОСПЕЦТРАНС»</w:t>
            </w:r>
          </w:p>
          <w:p w:rsidR="00F102F1" w:rsidRPr="00F102F1" w:rsidRDefault="00F102F1" w:rsidP="00F102F1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102F1">
              <w:rPr>
                <w:rFonts w:ascii="Calibri" w:eastAsia="Times New Roman" w:hAnsi="Calibri" w:cs="Calibri"/>
                <w:szCs w:val="20"/>
                <w:lang w:eastAsia="ru-RU"/>
              </w:rPr>
              <w:t>ИНН 1001291523 КПП 100101001</w:t>
            </w:r>
          </w:p>
          <w:p w:rsidR="00F102F1" w:rsidRPr="00F102F1" w:rsidRDefault="00F102F1" w:rsidP="00F102F1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102F1">
              <w:rPr>
                <w:rFonts w:ascii="Calibri" w:eastAsia="Times New Roman" w:hAnsi="Calibri" w:cs="Calibri"/>
                <w:szCs w:val="20"/>
                <w:lang w:eastAsia="ru-RU"/>
              </w:rPr>
              <w:t>Адрес: 185033, Республика Карелия, г. Петрозаводск, ул. Ключевая,18-177</w:t>
            </w:r>
          </w:p>
          <w:p w:rsidR="00F102F1" w:rsidRPr="00F102F1" w:rsidRDefault="00F102F1" w:rsidP="00F102F1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102F1">
              <w:rPr>
                <w:rFonts w:ascii="Calibri" w:eastAsia="Times New Roman" w:hAnsi="Calibri" w:cs="Calibri"/>
                <w:szCs w:val="20"/>
                <w:lang w:eastAsia="ru-RU"/>
              </w:rPr>
              <w:t>Почтовый адрес: 18503</w:t>
            </w:r>
            <w:r w:rsidR="00A86C7F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  <w:r w:rsidRPr="00F102F1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Республика Карелия, г. Петрозаводск, ул. </w:t>
            </w:r>
            <w:r w:rsidR="00A86C7F">
              <w:rPr>
                <w:rFonts w:ascii="Calibri" w:eastAsia="Times New Roman" w:hAnsi="Calibri" w:cs="Calibri"/>
                <w:szCs w:val="20"/>
                <w:lang w:eastAsia="ru-RU"/>
              </w:rPr>
              <w:t xml:space="preserve">Зайцева, д. 67а, </w:t>
            </w:r>
            <w:proofErr w:type="spellStart"/>
            <w:r w:rsidR="00A86C7F">
              <w:rPr>
                <w:rFonts w:ascii="Calibri" w:eastAsia="Times New Roman" w:hAnsi="Calibri" w:cs="Calibri"/>
                <w:szCs w:val="20"/>
                <w:lang w:eastAsia="ru-RU"/>
              </w:rPr>
              <w:t>каб</w:t>
            </w:r>
            <w:proofErr w:type="spellEnd"/>
            <w:r w:rsidR="00A86C7F">
              <w:rPr>
                <w:rFonts w:ascii="Calibri" w:eastAsia="Times New Roman" w:hAnsi="Calibri" w:cs="Calibri"/>
                <w:szCs w:val="20"/>
                <w:lang w:eastAsia="ru-RU"/>
              </w:rPr>
              <w:t>. 301А</w:t>
            </w:r>
          </w:p>
          <w:p w:rsidR="00F102F1" w:rsidRPr="00F102F1" w:rsidRDefault="00F102F1" w:rsidP="00F102F1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102F1">
              <w:rPr>
                <w:rFonts w:ascii="Calibri" w:eastAsia="Times New Roman" w:hAnsi="Calibri" w:cs="Calibri"/>
                <w:szCs w:val="20"/>
                <w:lang w:eastAsia="ru-RU"/>
              </w:rPr>
              <w:t>ОГРН 1141001044788</w:t>
            </w:r>
          </w:p>
          <w:p w:rsidR="00F102F1" w:rsidRPr="00F102F1" w:rsidRDefault="00F102F1" w:rsidP="00F102F1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102F1">
              <w:rPr>
                <w:rFonts w:ascii="Calibri" w:eastAsia="Times New Roman" w:hAnsi="Calibri" w:cs="Calibri"/>
                <w:szCs w:val="20"/>
                <w:lang w:eastAsia="ru-RU"/>
              </w:rPr>
              <w:t>р/с 40702810003900143440 в Петрозаводском филиале Банка «Возрождение» (ПАО)</w:t>
            </w:r>
          </w:p>
          <w:p w:rsidR="00F102F1" w:rsidRPr="00F102F1" w:rsidRDefault="00F102F1" w:rsidP="00F102F1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F102F1">
              <w:rPr>
                <w:rFonts w:ascii="Calibri" w:eastAsia="Times New Roman" w:hAnsi="Calibri" w:cs="Calibri"/>
                <w:szCs w:val="20"/>
                <w:lang w:eastAsia="ru-RU"/>
              </w:rPr>
              <w:t>корр</w:t>
            </w:r>
            <w:proofErr w:type="spellEnd"/>
            <w:r w:rsidRPr="00F102F1">
              <w:rPr>
                <w:rFonts w:ascii="Calibri" w:eastAsia="Times New Roman" w:hAnsi="Calibri" w:cs="Calibri"/>
                <w:szCs w:val="20"/>
                <w:lang w:eastAsia="ru-RU"/>
              </w:rPr>
              <w:t>/счет № 30101810400000000721</w:t>
            </w:r>
          </w:p>
          <w:p w:rsidR="00F102F1" w:rsidRPr="00F102F1" w:rsidRDefault="00F102F1" w:rsidP="00F102F1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102F1">
              <w:rPr>
                <w:rFonts w:ascii="Calibri" w:eastAsia="Times New Roman" w:hAnsi="Calibri" w:cs="Calibri"/>
                <w:szCs w:val="20"/>
                <w:lang w:eastAsia="ru-RU"/>
              </w:rPr>
              <w:t>БИК 048 602 721</w:t>
            </w:r>
          </w:p>
          <w:p w:rsidR="00F102F1" w:rsidRPr="00DF1CB3" w:rsidRDefault="00F102F1" w:rsidP="00F102F1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E6746">
              <w:rPr>
                <w:rFonts w:ascii="Calibri" w:eastAsia="Times New Roman" w:hAnsi="Calibri" w:cs="Calibri"/>
                <w:szCs w:val="20"/>
                <w:lang w:eastAsia="ru-RU"/>
              </w:rPr>
              <w:t>Тел</w:t>
            </w:r>
            <w:r w:rsidRPr="00DF1CB3">
              <w:rPr>
                <w:rFonts w:ascii="Calibri" w:eastAsia="Times New Roman" w:hAnsi="Calibri" w:cs="Calibri"/>
                <w:szCs w:val="20"/>
                <w:lang w:eastAsia="ru-RU"/>
              </w:rPr>
              <w:t>.</w:t>
            </w:r>
            <w:r w:rsidR="002700B1" w:rsidRPr="00DF1CB3">
              <w:rPr>
                <w:rFonts w:ascii="Calibri" w:eastAsia="Times New Roman" w:hAnsi="Calibri" w:cs="Calibri"/>
                <w:szCs w:val="20"/>
                <w:lang w:eastAsia="ru-RU"/>
              </w:rPr>
              <w:t xml:space="preserve"> 8</w:t>
            </w:r>
            <w:r w:rsidR="002700B1" w:rsidRPr="003E6746">
              <w:rPr>
                <w:rFonts w:ascii="Calibri" w:eastAsia="Times New Roman" w:hAnsi="Calibri" w:cs="Calibri"/>
                <w:szCs w:val="20"/>
                <w:lang w:val="en-US" w:eastAsia="ru-RU"/>
              </w:rPr>
              <w:t> </w:t>
            </w:r>
            <w:r w:rsidR="002700B1" w:rsidRPr="00DF1CB3">
              <w:rPr>
                <w:rFonts w:ascii="Calibri" w:eastAsia="Times New Roman" w:hAnsi="Calibri" w:cs="Calibri"/>
                <w:szCs w:val="20"/>
                <w:lang w:eastAsia="ru-RU"/>
              </w:rPr>
              <w:t>800</w:t>
            </w:r>
            <w:r w:rsidR="002700B1" w:rsidRPr="003E6746">
              <w:rPr>
                <w:rFonts w:ascii="Calibri" w:eastAsia="Times New Roman" w:hAnsi="Calibri" w:cs="Calibri"/>
                <w:szCs w:val="20"/>
                <w:lang w:val="en-US" w:eastAsia="ru-RU"/>
              </w:rPr>
              <w:t> </w:t>
            </w:r>
            <w:r w:rsidR="002700B1" w:rsidRPr="00DF1CB3">
              <w:rPr>
                <w:rFonts w:ascii="Calibri" w:eastAsia="Times New Roman" w:hAnsi="Calibri" w:cs="Calibri"/>
                <w:szCs w:val="20"/>
                <w:lang w:eastAsia="ru-RU"/>
              </w:rPr>
              <w:t>550 60 26</w:t>
            </w:r>
          </w:p>
          <w:p w:rsidR="00F102F1" w:rsidRPr="00DF1CB3" w:rsidRDefault="00F102F1" w:rsidP="00F102F1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Cs w:val="20"/>
                <w:u w:val="single"/>
                <w:lang w:eastAsia="ru-RU"/>
              </w:rPr>
            </w:pPr>
            <w:proofErr w:type="spellStart"/>
            <w:r w:rsidRPr="003E6746">
              <w:rPr>
                <w:rFonts w:ascii="Calibri" w:eastAsia="Times New Roman" w:hAnsi="Calibri" w:cs="Calibri"/>
                <w:szCs w:val="20"/>
                <w:lang w:val="de-DE" w:eastAsia="ru-RU"/>
              </w:rPr>
              <w:t>E-mail</w:t>
            </w:r>
            <w:proofErr w:type="spellEnd"/>
            <w:r w:rsidRPr="003E6746">
              <w:rPr>
                <w:rFonts w:ascii="Calibri" w:eastAsia="Times New Roman" w:hAnsi="Calibri" w:cs="Calibri"/>
                <w:szCs w:val="20"/>
                <w:lang w:val="de-DE" w:eastAsia="ru-RU"/>
              </w:rPr>
              <w:t>:</w:t>
            </w:r>
            <w:r w:rsidRPr="00DF1CB3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hyperlink r:id="rId8" w:history="1">
              <w:r w:rsidR="003E6746" w:rsidRPr="003E6746">
                <w:rPr>
                  <w:rStyle w:val="a3"/>
                  <w:rFonts w:ascii="Calibri" w:eastAsia="Times New Roman" w:hAnsi="Calibri" w:cs="Calibri"/>
                  <w:szCs w:val="20"/>
                  <w:lang w:val="en-US" w:eastAsia="ru-RU"/>
                </w:rPr>
                <w:t>info</w:t>
              </w:r>
              <w:r w:rsidR="003E6746" w:rsidRPr="00DF1CB3">
                <w:rPr>
                  <w:rStyle w:val="a3"/>
                  <w:rFonts w:ascii="Calibri" w:eastAsia="Times New Roman" w:hAnsi="Calibri" w:cs="Calibri"/>
                  <w:szCs w:val="20"/>
                  <w:lang w:eastAsia="ru-RU"/>
                </w:rPr>
                <w:t>@.</w:t>
              </w:r>
              <w:r w:rsidR="003E6746" w:rsidRPr="003E6746">
                <w:rPr>
                  <w:rStyle w:val="a3"/>
                  <w:rFonts w:ascii="Calibri" w:eastAsia="Times New Roman" w:hAnsi="Calibri" w:cs="Calibri"/>
                  <w:szCs w:val="20"/>
                  <w:lang w:val="en-US" w:eastAsia="ru-RU"/>
                </w:rPr>
                <w:t>rotko</w:t>
              </w:r>
              <w:r w:rsidR="003E6746" w:rsidRPr="00DF1CB3">
                <w:rPr>
                  <w:rStyle w:val="a3"/>
                  <w:rFonts w:ascii="Calibri" w:eastAsia="Times New Roman" w:hAnsi="Calibri" w:cs="Calibri"/>
                  <w:szCs w:val="20"/>
                  <w:lang w:eastAsia="ru-RU"/>
                </w:rPr>
                <w:t>10.</w:t>
              </w:r>
              <w:r w:rsidR="003E6746" w:rsidRPr="003E6746">
                <w:rPr>
                  <w:rStyle w:val="a3"/>
                  <w:rFonts w:ascii="Calibri" w:eastAsia="Times New Roman" w:hAnsi="Calibri" w:cs="Calibri"/>
                  <w:szCs w:val="20"/>
                  <w:lang w:val="en-US" w:eastAsia="ru-RU"/>
                </w:rPr>
                <w:t>ru</w:t>
              </w:r>
            </w:hyperlink>
          </w:p>
          <w:p w:rsidR="00F102F1" w:rsidRPr="00DF1CB3" w:rsidRDefault="00F102F1" w:rsidP="00F102F1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Cs w:val="20"/>
                <w:u w:val="single"/>
                <w:lang w:eastAsia="ru-RU"/>
              </w:rPr>
            </w:pPr>
          </w:p>
          <w:p w:rsidR="00F102F1" w:rsidRPr="00F102F1" w:rsidRDefault="00F102F1" w:rsidP="00F102F1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102F1">
              <w:rPr>
                <w:rFonts w:ascii="Calibri" w:eastAsia="Times New Roman" w:hAnsi="Calibri" w:cs="Calibri"/>
                <w:szCs w:val="20"/>
                <w:lang w:eastAsia="ru-RU"/>
              </w:rPr>
              <w:t>Директор</w:t>
            </w:r>
          </w:p>
          <w:p w:rsidR="00F102F1" w:rsidRPr="00F102F1" w:rsidRDefault="00F102F1" w:rsidP="00F102F1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102F1">
              <w:rPr>
                <w:rFonts w:ascii="Calibri" w:eastAsia="Times New Roman" w:hAnsi="Calibri" w:cs="Calibri"/>
                <w:szCs w:val="20"/>
                <w:lang w:eastAsia="ru-RU"/>
              </w:rPr>
              <w:t>______________/И.А. Новиков/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</w:p>
        </w:tc>
      </w:tr>
    </w:tbl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02F1">
        <w:rPr>
          <w:rFonts w:ascii="Courier New" w:eastAsia="Times New Roman" w:hAnsi="Courier New" w:cs="Courier New"/>
          <w:sz w:val="20"/>
          <w:szCs w:val="20"/>
          <w:lang w:eastAsia="ru-RU"/>
        </w:rPr>
        <w:t>"__" ________________ 20__ г.           "__" ________________ 20__ г.</w:t>
      </w: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F102F1" w:rsidRDefault="00F102F1" w:rsidP="00F102F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3E6746" w:rsidRDefault="003E6746" w:rsidP="00F102F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3E6746" w:rsidRDefault="003E6746" w:rsidP="00F102F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3E6746" w:rsidRDefault="003E6746" w:rsidP="00F102F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3E6746" w:rsidRDefault="003E6746" w:rsidP="00F102F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3E6746" w:rsidRDefault="003E6746" w:rsidP="00F102F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3E6746" w:rsidRDefault="003E6746" w:rsidP="00F102F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3E6746" w:rsidRDefault="003E6746" w:rsidP="00F102F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3E6746" w:rsidRDefault="003E6746" w:rsidP="00F102F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3E6746" w:rsidRDefault="003E6746" w:rsidP="00F102F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3E6746" w:rsidRDefault="003E6746" w:rsidP="00F102F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3E6746" w:rsidRDefault="003E6746" w:rsidP="00F102F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3E6746" w:rsidRDefault="003E6746" w:rsidP="00F102F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3E6746" w:rsidRDefault="003E6746" w:rsidP="00F102F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3E6746" w:rsidRDefault="003E6746" w:rsidP="00F102F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3E6746" w:rsidRDefault="003E6746" w:rsidP="00F102F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3E6746" w:rsidRDefault="003E6746" w:rsidP="00F102F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3E6746" w:rsidRDefault="003E6746" w:rsidP="00F102F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3E6746" w:rsidRDefault="003E6746" w:rsidP="00F102F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3E6746" w:rsidRDefault="003E6746" w:rsidP="00F102F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3E6746" w:rsidRDefault="003E6746" w:rsidP="00F102F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3E6746" w:rsidRDefault="003E6746" w:rsidP="00F102F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3E6746" w:rsidRDefault="003E6746" w:rsidP="00F102F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3E6746" w:rsidRDefault="003E6746" w:rsidP="00F102F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3E6746" w:rsidRDefault="003E6746" w:rsidP="00F102F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3E6746" w:rsidRDefault="003E6746" w:rsidP="00F102F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3E6746" w:rsidRDefault="003E6746" w:rsidP="00F102F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3E6746" w:rsidRPr="00F102F1" w:rsidRDefault="003E6746" w:rsidP="00F102F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F102F1">
        <w:rPr>
          <w:rFonts w:ascii="Calibri" w:eastAsia="Times New Roman" w:hAnsi="Calibri" w:cs="Calibri"/>
          <w:szCs w:val="20"/>
          <w:lang w:eastAsia="ru-RU"/>
        </w:rPr>
        <w:t>Приложение</w:t>
      </w: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F102F1">
        <w:rPr>
          <w:rFonts w:ascii="Calibri" w:eastAsia="Times New Roman" w:hAnsi="Calibri" w:cs="Calibri"/>
          <w:szCs w:val="20"/>
          <w:lang w:eastAsia="ru-RU"/>
        </w:rPr>
        <w:t>к типовому договору на оказание</w:t>
      </w: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F102F1">
        <w:rPr>
          <w:rFonts w:ascii="Calibri" w:eastAsia="Times New Roman" w:hAnsi="Calibri" w:cs="Calibri"/>
          <w:szCs w:val="20"/>
          <w:lang w:eastAsia="ru-RU"/>
        </w:rPr>
        <w:t>услуг по обращению с твердыми</w:t>
      </w: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F102F1">
        <w:rPr>
          <w:rFonts w:ascii="Calibri" w:eastAsia="Times New Roman" w:hAnsi="Calibri" w:cs="Calibri"/>
          <w:szCs w:val="20"/>
          <w:lang w:eastAsia="ru-RU"/>
        </w:rPr>
        <w:t>коммунальными отходами</w:t>
      </w: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bookmarkStart w:id="1" w:name="P329"/>
      <w:bookmarkEnd w:id="1"/>
      <w:r w:rsidRPr="00F102F1">
        <w:rPr>
          <w:rFonts w:ascii="Calibri" w:eastAsia="Times New Roman" w:hAnsi="Calibri" w:cs="Calibri"/>
          <w:szCs w:val="20"/>
          <w:lang w:eastAsia="ru-RU"/>
        </w:rPr>
        <w:t>ИНФОРМАЦИЯ ПО ПРЕДМЕТУ ДОГОВОРА</w:t>
      </w: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Calibri" w:eastAsia="Times New Roman" w:hAnsi="Calibri" w:cs="Calibri"/>
          <w:szCs w:val="20"/>
          <w:lang w:eastAsia="ru-RU"/>
        </w:rPr>
      </w:pPr>
      <w:r w:rsidRPr="00F102F1">
        <w:rPr>
          <w:rFonts w:ascii="Calibri" w:eastAsia="Times New Roman" w:hAnsi="Calibri" w:cs="Calibri"/>
          <w:szCs w:val="20"/>
          <w:lang w:eastAsia="ru-RU"/>
        </w:rPr>
        <w:t>I. Объем и место сбора и накопления твердых</w:t>
      </w: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F102F1">
        <w:rPr>
          <w:rFonts w:ascii="Calibri" w:eastAsia="Times New Roman" w:hAnsi="Calibri" w:cs="Calibri"/>
          <w:szCs w:val="20"/>
          <w:lang w:eastAsia="ru-RU"/>
        </w:rPr>
        <w:t>коммунальных отходов</w:t>
      </w: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474"/>
        <w:gridCol w:w="1644"/>
        <w:gridCol w:w="1701"/>
        <w:gridCol w:w="1814"/>
        <w:gridCol w:w="1814"/>
      </w:tblGrid>
      <w:tr w:rsidR="00F102F1" w:rsidRPr="00F102F1" w:rsidTr="00C766E7">
        <w:tc>
          <w:tcPr>
            <w:tcW w:w="624" w:type="dxa"/>
          </w:tcPr>
          <w:p w:rsidR="00F102F1" w:rsidRPr="00F102F1" w:rsidRDefault="00F102F1" w:rsidP="00F10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102F1">
              <w:rPr>
                <w:rFonts w:ascii="Calibri" w:eastAsia="Times New Roman" w:hAnsi="Calibri" w:cs="Calibri"/>
                <w:szCs w:val="20"/>
                <w:lang w:eastAsia="ru-RU"/>
              </w:rPr>
              <w:t>N п/п</w:t>
            </w:r>
          </w:p>
        </w:tc>
        <w:tc>
          <w:tcPr>
            <w:tcW w:w="1474" w:type="dxa"/>
          </w:tcPr>
          <w:p w:rsidR="00F102F1" w:rsidRPr="00F102F1" w:rsidRDefault="00F102F1" w:rsidP="00F10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102F1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644" w:type="dxa"/>
          </w:tcPr>
          <w:p w:rsidR="00F102F1" w:rsidRPr="00F102F1" w:rsidRDefault="00F102F1" w:rsidP="00F10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102F1">
              <w:rPr>
                <w:rFonts w:ascii="Calibri" w:eastAsia="Times New Roman" w:hAnsi="Calibri" w:cs="Calibri"/>
                <w:szCs w:val="20"/>
                <w:lang w:eastAsia="ru-RU"/>
              </w:rPr>
              <w:t>Объем принимаемых твердых коммунальных отходов</w:t>
            </w:r>
          </w:p>
        </w:tc>
        <w:tc>
          <w:tcPr>
            <w:tcW w:w="1701" w:type="dxa"/>
          </w:tcPr>
          <w:p w:rsidR="00F102F1" w:rsidRPr="00F102F1" w:rsidRDefault="00F102F1" w:rsidP="00F10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102F1">
              <w:rPr>
                <w:rFonts w:ascii="Calibri" w:eastAsia="Times New Roman" w:hAnsi="Calibri" w:cs="Calibri"/>
                <w:szCs w:val="20"/>
                <w:lang w:eastAsia="ru-RU"/>
              </w:rPr>
              <w:t>Место сбора и накопления твердых коммунальных отходов</w:t>
            </w:r>
          </w:p>
        </w:tc>
        <w:tc>
          <w:tcPr>
            <w:tcW w:w="1814" w:type="dxa"/>
          </w:tcPr>
          <w:p w:rsidR="00F102F1" w:rsidRPr="00F102F1" w:rsidRDefault="00F102F1" w:rsidP="00F10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102F1">
              <w:rPr>
                <w:rFonts w:ascii="Calibri" w:eastAsia="Times New Roman" w:hAnsi="Calibri" w:cs="Calibri"/>
                <w:szCs w:val="20"/>
                <w:lang w:eastAsia="ru-RU"/>
              </w:rPr>
              <w:t>Место сбора и накопления крупногабаритных отходов</w:t>
            </w:r>
          </w:p>
        </w:tc>
        <w:tc>
          <w:tcPr>
            <w:tcW w:w="1814" w:type="dxa"/>
          </w:tcPr>
          <w:p w:rsidR="00F102F1" w:rsidRPr="00F102F1" w:rsidRDefault="00F102F1" w:rsidP="00F10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102F1">
              <w:rPr>
                <w:rFonts w:ascii="Calibri" w:eastAsia="Times New Roman" w:hAnsi="Calibri" w:cs="Calibri"/>
                <w:szCs w:val="20"/>
                <w:lang w:eastAsia="ru-RU"/>
              </w:rPr>
              <w:t>Периодичность вывоза твердых коммунальных отходов</w:t>
            </w:r>
          </w:p>
        </w:tc>
      </w:tr>
      <w:tr w:rsidR="00F102F1" w:rsidRPr="00F102F1" w:rsidTr="00C766E7">
        <w:tc>
          <w:tcPr>
            <w:tcW w:w="624" w:type="dxa"/>
          </w:tcPr>
          <w:p w:rsidR="00F102F1" w:rsidRPr="00F102F1" w:rsidRDefault="00F102F1" w:rsidP="00F10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F102F1" w:rsidRPr="00F102F1" w:rsidRDefault="00F102F1" w:rsidP="00F10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F102F1" w:rsidRPr="00F102F1" w:rsidRDefault="00F102F1" w:rsidP="00F10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102F1" w:rsidRPr="00F102F1" w:rsidRDefault="00F102F1" w:rsidP="00F10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F102F1" w:rsidRPr="00F102F1" w:rsidRDefault="00F102F1" w:rsidP="00F10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F102F1" w:rsidRPr="00F102F1" w:rsidRDefault="00F102F1" w:rsidP="00F10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102F1" w:rsidRPr="00F102F1" w:rsidTr="00C766E7">
        <w:tc>
          <w:tcPr>
            <w:tcW w:w="624" w:type="dxa"/>
          </w:tcPr>
          <w:p w:rsidR="00F102F1" w:rsidRPr="00F102F1" w:rsidRDefault="00F102F1" w:rsidP="00F10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F102F1" w:rsidRPr="00F102F1" w:rsidRDefault="00F102F1" w:rsidP="00F10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F102F1" w:rsidRPr="00F102F1" w:rsidRDefault="00F102F1" w:rsidP="00F10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102F1" w:rsidRPr="00F102F1" w:rsidRDefault="00F102F1" w:rsidP="00F10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F102F1" w:rsidRPr="00F102F1" w:rsidRDefault="00F102F1" w:rsidP="00F10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F102F1" w:rsidRPr="00F102F1" w:rsidRDefault="00F102F1" w:rsidP="00F10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102F1" w:rsidRPr="00F102F1" w:rsidTr="00C766E7">
        <w:tc>
          <w:tcPr>
            <w:tcW w:w="624" w:type="dxa"/>
          </w:tcPr>
          <w:p w:rsidR="00F102F1" w:rsidRPr="00F102F1" w:rsidRDefault="00F102F1" w:rsidP="00F10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F102F1" w:rsidRPr="00F102F1" w:rsidRDefault="00F102F1" w:rsidP="00F10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F102F1" w:rsidRPr="00F102F1" w:rsidRDefault="00F102F1" w:rsidP="00F10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102F1" w:rsidRPr="00F102F1" w:rsidRDefault="00F102F1" w:rsidP="00F10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F102F1" w:rsidRPr="00F102F1" w:rsidRDefault="00F102F1" w:rsidP="00F10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F102F1" w:rsidRPr="00F102F1" w:rsidRDefault="00F102F1" w:rsidP="00F10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Calibri" w:eastAsia="Times New Roman" w:hAnsi="Calibri" w:cs="Calibri"/>
          <w:szCs w:val="20"/>
          <w:lang w:eastAsia="ru-RU"/>
        </w:rPr>
      </w:pPr>
      <w:r w:rsidRPr="00F102F1">
        <w:rPr>
          <w:rFonts w:ascii="Calibri" w:eastAsia="Times New Roman" w:hAnsi="Calibri" w:cs="Calibri"/>
          <w:szCs w:val="20"/>
          <w:lang w:eastAsia="ru-RU"/>
        </w:rPr>
        <w:t>II. Информация в графическом виде о размещении мест сбора</w:t>
      </w: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F102F1">
        <w:rPr>
          <w:rFonts w:ascii="Calibri" w:eastAsia="Times New Roman" w:hAnsi="Calibri" w:cs="Calibri"/>
          <w:szCs w:val="20"/>
          <w:lang w:eastAsia="ru-RU"/>
        </w:rPr>
        <w:t>и накопления твердых коммунальных отходов и подъездных</w:t>
      </w: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F102F1">
        <w:rPr>
          <w:rFonts w:ascii="Calibri" w:eastAsia="Times New Roman" w:hAnsi="Calibri" w:cs="Calibri"/>
          <w:szCs w:val="20"/>
          <w:lang w:eastAsia="ru-RU"/>
        </w:rPr>
        <w:t>путей к ним (за исключением жилых домов)</w:t>
      </w: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102F1" w:rsidRPr="00F102F1" w:rsidRDefault="00F102F1" w:rsidP="00F102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102F1" w:rsidRPr="00F102F1" w:rsidRDefault="00F102F1" w:rsidP="00F102F1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alibri" w:eastAsia="Times New Roman" w:hAnsi="Calibri" w:cs="Calibri"/>
          <w:sz w:val="2"/>
          <w:szCs w:val="2"/>
          <w:lang w:eastAsia="ru-RU"/>
        </w:rPr>
      </w:pPr>
    </w:p>
    <w:p w:rsidR="00F102F1" w:rsidRPr="00F102F1" w:rsidRDefault="00F102F1" w:rsidP="00F102F1">
      <w:pPr>
        <w:spacing w:after="200" w:line="276" w:lineRule="auto"/>
        <w:rPr>
          <w:rFonts w:ascii="Calibri" w:eastAsia="Calibri" w:hAnsi="Calibri" w:cs="Times New Roman"/>
        </w:rPr>
      </w:pPr>
    </w:p>
    <w:p w:rsidR="00FF5D43" w:rsidRDefault="00FF5D43"/>
    <w:sectPr w:rsidR="00FF5D43" w:rsidSect="00C76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4A7"/>
    <w:rsid w:val="00025DA2"/>
    <w:rsid w:val="00083F38"/>
    <w:rsid w:val="000E5771"/>
    <w:rsid w:val="002700B1"/>
    <w:rsid w:val="002C0B69"/>
    <w:rsid w:val="0036057E"/>
    <w:rsid w:val="00375B24"/>
    <w:rsid w:val="003E6746"/>
    <w:rsid w:val="00464EA7"/>
    <w:rsid w:val="004B4939"/>
    <w:rsid w:val="006B44A7"/>
    <w:rsid w:val="006E65DE"/>
    <w:rsid w:val="00702855"/>
    <w:rsid w:val="007F7008"/>
    <w:rsid w:val="00835854"/>
    <w:rsid w:val="0094173C"/>
    <w:rsid w:val="009E6AC9"/>
    <w:rsid w:val="00A86C7F"/>
    <w:rsid w:val="00AE4892"/>
    <w:rsid w:val="00B034FB"/>
    <w:rsid w:val="00C65EAF"/>
    <w:rsid w:val="00C766E7"/>
    <w:rsid w:val="00CE2B69"/>
    <w:rsid w:val="00D952AB"/>
    <w:rsid w:val="00DF1CB3"/>
    <w:rsid w:val="00E05E34"/>
    <w:rsid w:val="00E26DBE"/>
    <w:rsid w:val="00EC3D77"/>
    <w:rsid w:val="00F102F1"/>
    <w:rsid w:val="00F86261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D49FD-3598-4AEB-BB87-5A98664D3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5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02F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034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.rotko10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FE0CC8DF92F02405310656173A90255184ABC829B8A03B55603E3F45fBPC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3FE0CC8DF92F02405310656173A9025518DACCD23BCA03B55603E3F45BC9FF70979FBF8F34D1773f6P9O" TargetMode="External"/><Relationship Id="rId5" Type="http://schemas.openxmlformats.org/officeDocument/2006/relationships/hyperlink" Target="consultantplus://offline/ref=63FE0CC8DF92F02405310656173A9025518DACCD23BCA03B55603E3F45BC9FF70979FBF8F34D1773f6P9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65E1E-B041-4C80-BDA7-BD216189C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2770</Words>
  <Characters>15789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Milgevich Alexandr</dc:creator>
  <cp:keywords/>
  <dc:description/>
  <cp:lastModifiedBy>User</cp:lastModifiedBy>
  <cp:revision>5</cp:revision>
  <dcterms:created xsi:type="dcterms:W3CDTF">2018-04-09T11:29:00Z</dcterms:created>
  <dcterms:modified xsi:type="dcterms:W3CDTF">2018-04-10T11:26:00Z</dcterms:modified>
</cp:coreProperties>
</file>